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3590" w14:textId="65FAF7A2" w:rsidR="00305FDE" w:rsidRDefault="00305FDE" w:rsidP="00412135">
      <w:pPr>
        <w:shd w:val="clear" w:color="auto" w:fill="E7E6E6" w:themeFill="background2"/>
        <w:jc w:val="center"/>
        <w:rPr>
          <w:b/>
          <w:bCs/>
        </w:rPr>
      </w:pPr>
      <w:r w:rsidRPr="00305FDE">
        <w:rPr>
          <w:b/>
          <w:bCs/>
        </w:rPr>
        <w:t>P</w:t>
      </w:r>
      <w:r w:rsidR="002068DC">
        <w:rPr>
          <w:b/>
          <w:bCs/>
        </w:rPr>
        <w:t>résentation de la méthode -P</w:t>
      </w:r>
      <w:r w:rsidRPr="00305FDE">
        <w:rPr>
          <w:b/>
          <w:bCs/>
        </w:rPr>
        <w:t>artis pris pédagogiques</w:t>
      </w:r>
    </w:p>
    <w:p w14:paraId="3C3A151E" w14:textId="0903E0C5" w:rsidR="00305FDE" w:rsidRPr="0072261B" w:rsidRDefault="00305FDE">
      <w:pPr>
        <w:rPr>
          <w:b/>
          <w:bCs/>
          <w:color w:val="4472C4" w:themeColor="accent1"/>
        </w:rPr>
      </w:pPr>
      <w:r w:rsidRPr="0072261B">
        <w:rPr>
          <w:b/>
          <w:bCs/>
          <w:color w:val="4472C4" w:themeColor="accent1"/>
        </w:rPr>
        <w:t>Le respect des programmes</w:t>
      </w:r>
    </w:p>
    <w:p w14:paraId="4C3DC413" w14:textId="2C681F6F" w:rsidR="00305FDE" w:rsidRDefault="00EF42BB" w:rsidP="00EF42BB">
      <w:pPr>
        <w:ind w:firstLine="708"/>
        <w:jc w:val="both"/>
      </w:pPr>
      <w:r w:rsidRPr="00EF42BB">
        <w:t xml:space="preserve">Ce cahier </w:t>
      </w:r>
      <w:r>
        <w:t xml:space="preserve">d’activités s’appuie sur le programme publié dans le B.O. du 26 novembre 2015. </w:t>
      </w:r>
      <w:r w:rsidR="003906C4">
        <w:t xml:space="preserve">Il questionne le temps en permettant aux élèves de se </w:t>
      </w:r>
      <w:r w:rsidR="003906C4" w:rsidRPr="00E04D9B">
        <w:rPr>
          <w:b/>
          <w:bCs/>
        </w:rPr>
        <w:t>décentrer</w:t>
      </w:r>
      <w:r w:rsidR="00CE517A">
        <w:t xml:space="preserve"> et</w:t>
      </w:r>
      <w:r w:rsidR="003906C4">
        <w:t xml:space="preserve"> de </w:t>
      </w:r>
      <w:r w:rsidR="003906C4" w:rsidRPr="00E04D9B">
        <w:rPr>
          <w:b/>
          <w:bCs/>
        </w:rPr>
        <w:t>comprendre</w:t>
      </w:r>
      <w:r w:rsidR="003906C4">
        <w:t xml:space="preserve"> les </w:t>
      </w:r>
      <w:r w:rsidR="003906C4" w:rsidRPr="00E04D9B">
        <w:rPr>
          <w:b/>
          <w:bCs/>
        </w:rPr>
        <w:t>évolutions de modes de vie</w:t>
      </w:r>
      <w:r w:rsidR="003906C4">
        <w:t xml:space="preserve"> à l’échelle de deux ou trois générations</w:t>
      </w:r>
      <w:r w:rsidR="00CE517A">
        <w:t xml:space="preserve"> (soit une centaine d’années environ). Il questionner également </w:t>
      </w:r>
      <w:r w:rsidR="00CE517A" w:rsidRPr="00E04D9B">
        <w:rPr>
          <w:b/>
          <w:bCs/>
        </w:rPr>
        <w:t>l’espace</w:t>
      </w:r>
      <w:r w:rsidR="00CE517A">
        <w:t xml:space="preserve"> en permettant aux élèves de travailler sur des espaces de plus en plus éloignés (de l’échelle du pays à l’espace cosmique).</w:t>
      </w:r>
    </w:p>
    <w:p w14:paraId="309B598A" w14:textId="3388139D" w:rsidR="00CE517A" w:rsidRDefault="00CE517A" w:rsidP="00EF42BB">
      <w:pPr>
        <w:ind w:firstLine="708"/>
        <w:jc w:val="both"/>
      </w:pPr>
      <w:r>
        <w:t xml:space="preserve">Ce cahier d’activités travaille aussi le temps long, le </w:t>
      </w:r>
      <w:r w:rsidRPr="00E04D9B">
        <w:rPr>
          <w:b/>
          <w:bCs/>
        </w:rPr>
        <w:t>temps historique</w:t>
      </w:r>
      <w:r>
        <w:t xml:space="preserve">, en proposant des études sur des </w:t>
      </w:r>
      <w:r w:rsidRPr="00E04D9B">
        <w:rPr>
          <w:b/>
          <w:bCs/>
        </w:rPr>
        <w:t>événements ruptures</w:t>
      </w:r>
      <w:r>
        <w:t xml:space="preserve"> (conquête de la Gaule, découverte de l’Amérique, Révolution française). Enfin il questionne </w:t>
      </w:r>
      <w:r w:rsidRPr="00E04D9B">
        <w:rPr>
          <w:b/>
          <w:bCs/>
        </w:rPr>
        <w:t>l’organisation de l’espace</w:t>
      </w:r>
      <w:r>
        <w:t xml:space="preserve">, le rôle des </w:t>
      </w:r>
      <w:r w:rsidRPr="00E04D9B">
        <w:rPr>
          <w:b/>
          <w:bCs/>
        </w:rPr>
        <w:t>acteurs</w:t>
      </w:r>
      <w:r>
        <w:t xml:space="preserve"> en géographie et initie à la lecture de </w:t>
      </w:r>
      <w:r w:rsidRPr="00C239D1">
        <w:rPr>
          <w:b/>
          <w:bCs/>
        </w:rPr>
        <w:t>paysages</w:t>
      </w:r>
      <w:r w:rsidR="004A46DE">
        <w:t>.</w:t>
      </w:r>
    </w:p>
    <w:p w14:paraId="39145759" w14:textId="71EF35E5" w:rsidR="004A46DE" w:rsidRDefault="004A46DE" w:rsidP="00EF42BB">
      <w:pPr>
        <w:ind w:firstLine="708"/>
        <w:jc w:val="both"/>
      </w:pPr>
      <w:r>
        <w:t>En 30 fiches d’activités, ce cahier parcourt le programme et offre plusieurs possibilités pour l’enseignant :</w:t>
      </w:r>
    </w:p>
    <w:p w14:paraId="1B160083" w14:textId="19E63039" w:rsidR="004A46DE" w:rsidRDefault="0072261B" w:rsidP="004A46DE">
      <w:pPr>
        <w:pStyle w:val="Paragraphedeliste"/>
        <w:numPr>
          <w:ilvl w:val="0"/>
          <w:numId w:val="1"/>
        </w:numPr>
        <w:jc w:val="both"/>
      </w:pPr>
      <w:proofErr w:type="gramStart"/>
      <w:r>
        <w:t>u</w:t>
      </w:r>
      <w:r w:rsidR="004A46DE">
        <w:t>n</w:t>
      </w:r>
      <w:proofErr w:type="gramEnd"/>
      <w:r w:rsidR="004A46DE">
        <w:t xml:space="preserve"> usage </w:t>
      </w:r>
      <w:r w:rsidR="004A46DE" w:rsidRPr="00E04D9B">
        <w:rPr>
          <w:b/>
          <w:bCs/>
        </w:rPr>
        <w:t>en</w:t>
      </w:r>
      <w:r w:rsidR="004A46DE">
        <w:t xml:space="preserve"> </w:t>
      </w:r>
      <w:r w:rsidR="004A46DE" w:rsidRPr="00E04D9B">
        <w:rPr>
          <w:b/>
          <w:bCs/>
        </w:rPr>
        <w:t>classe</w:t>
      </w:r>
      <w:r w:rsidR="004A46DE">
        <w:t>, guidé par l’enseignant, en travail de groupe, individuel ou en cours dialogué</w:t>
      </w:r>
      <w:r>
        <w:t> ;</w:t>
      </w:r>
    </w:p>
    <w:p w14:paraId="18761D4D" w14:textId="502D5CEF" w:rsidR="004A46DE" w:rsidRPr="00EF42BB" w:rsidRDefault="0072261B" w:rsidP="004A46DE">
      <w:pPr>
        <w:pStyle w:val="Paragraphedeliste"/>
        <w:numPr>
          <w:ilvl w:val="0"/>
          <w:numId w:val="1"/>
        </w:numPr>
        <w:jc w:val="both"/>
      </w:pPr>
      <w:proofErr w:type="gramStart"/>
      <w:r>
        <w:t>u</w:t>
      </w:r>
      <w:r w:rsidR="004A46DE">
        <w:t>n</w:t>
      </w:r>
      <w:proofErr w:type="gramEnd"/>
      <w:r w:rsidR="004A46DE">
        <w:t xml:space="preserve"> usage </w:t>
      </w:r>
      <w:r w:rsidR="00E04D9B">
        <w:t xml:space="preserve">en </w:t>
      </w:r>
      <w:r w:rsidR="004A46DE" w:rsidRPr="00E04D9B">
        <w:rPr>
          <w:b/>
          <w:bCs/>
        </w:rPr>
        <w:t>autonomie</w:t>
      </w:r>
      <w:r w:rsidR="004A46DE">
        <w:t xml:space="preserve">, possible lors d’un cours en double voire triple niveau. Le questionnement propose des </w:t>
      </w:r>
      <w:r w:rsidR="004A46DE" w:rsidRPr="00E04D9B">
        <w:rPr>
          <w:b/>
          <w:bCs/>
        </w:rPr>
        <w:t>exercices</w:t>
      </w:r>
      <w:r w:rsidR="004A46DE">
        <w:t xml:space="preserve"> </w:t>
      </w:r>
      <w:r w:rsidR="004A46DE" w:rsidRPr="00E04D9B">
        <w:rPr>
          <w:b/>
          <w:bCs/>
        </w:rPr>
        <w:t>variés</w:t>
      </w:r>
      <w:r w:rsidR="004A46DE">
        <w:t xml:space="preserve"> permettant de travailler l’observation, la description, l’enrichissement du vocabulaire et la ma</w:t>
      </w:r>
      <w:r>
        <w:t>i</w:t>
      </w:r>
      <w:r w:rsidR="004A46DE">
        <w:t>trise de la langue.</w:t>
      </w:r>
    </w:p>
    <w:p w14:paraId="78F9FBFB" w14:textId="11ACB37C" w:rsidR="00305FDE" w:rsidRPr="0072261B" w:rsidRDefault="00305FDE">
      <w:pPr>
        <w:rPr>
          <w:b/>
          <w:bCs/>
          <w:color w:val="4472C4" w:themeColor="accent1"/>
        </w:rPr>
      </w:pPr>
      <w:r w:rsidRPr="0072261B">
        <w:rPr>
          <w:b/>
          <w:bCs/>
          <w:color w:val="4472C4" w:themeColor="accent1"/>
        </w:rPr>
        <w:t>Un questionnement à hauteur d’enfant</w:t>
      </w:r>
    </w:p>
    <w:p w14:paraId="0A1B4044" w14:textId="47849A7E" w:rsidR="00305FDE" w:rsidRDefault="00CE517A" w:rsidP="00BB7048">
      <w:pPr>
        <w:jc w:val="both"/>
      </w:pPr>
      <w:r w:rsidRPr="00BB7048">
        <w:tab/>
      </w:r>
      <w:r w:rsidR="00BB7048" w:rsidRPr="00BB7048">
        <w:t xml:space="preserve">Les 30 </w:t>
      </w:r>
      <w:r w:rsidR="00BB7048">
        <w:t xml:space="preserve">fiches d’activités questionnent le temps et l’espace à hauteur d’enfant sans renoncer à la </w:t>
      </w:r>
      <w:r w:rsidR="00BB7048" w:rsidRPr="00353EED">
        <w:rPr>
          <w:b/>
          <w:bCs/>
        </w:rPr>
        <w:t>complexité</w:t>
      </w:r>
      <w:r w:rsidR="00BB7048">
        <w:t>.</w:t>
      </w:r>
    </w:p>
    <w:p w14:paraId="4C9CBFB2" w14:textId="6B9C8A1C" w:rsidR="002935AF" w:rsidRDefault="002935AF" w:rsidP="00BB7048">
      <w:pPr>
        <w:jc w:val="both"/>
      </w:pPr>
      <w:r>
        <w:tab/>
        <w:t xml:space="preserve">Chaque fiche commence par une </w:t>
      </w:r>
      <w:r w:rsidRPr="00E04D9B">
        <w:rPr>
          <w:b/>
          <w:bCs/>
        </w:rPr>
        <w:t>question</w:t>
      </w:r>
      <w:r>
        <w:t xml:space="preserve">, souvent faussement naïve. </w:t>
      </w:r>
      <w:r w:rsidRPr="0072261B">
        <w:rPr>
          <w:i/>
          <w:iCs/>
        </w:rPr>
        <w:t>Les Européens ont-ils toujours mang</w:t>
      </w:r>
      <w:r w:rsidR="00C239D1" w:rsidRPr="0072261B">
        <w:rPr>
          <w:i/>
          <w:iCs/>
        </w:rPr>
        <w:t>é</w:t>
      </w:r>
      <w:r w:rsidRPr="0072261B">
        <w:rPr>
          <w:i/>
          <w:iCs/>
        </w:rPr>
        <w:t xml:space="preserve"> des tomates ?</w:t>
      </w:r>
      <w:r>
        <w:t xml:space="preserve"> propose de réfléchir aux conséquences de la découverte de l’Amérique en 1492. </w:t>
      </w:r>
      <w:r w:rsidR="00436895">
        <w:t xml:space="preserve">Celle, intitulée </w:t>
      </w:r>
      <w:r w:rsidRPr="0072261B">
        <w:rPr>
          <w:i/>
          <w:iCs/>
        </w:rPr>
        <w:t xml:space="preserve">Mes grands-parents connaissaient-ils les </w:t>
      </w:r>
      <w:proofErr w:type="gramStart"/>
      <w:r w:rsidRPr="0072261B">
        <w:rPr>
          <w:i/>
          <w:iCs/>
        </w:rPr>
        <w:t>glaçons</w:t>
      </w:r>
      <w:r w:rsidR="0072261B" w:rsidRPr="0072261B">
        <w:rPr>
          <w:i/>
          <w:iCs/>
        </w:rPr>
        <w:t> ?</w:t>
      </w:r>
      <w:r w:rsidR="0072261B">
        <w:rPr>
          <w:i/>
          <w:iCs/>
        </w:rPr>
        <w:t>,</w:t>
      </w:r>
      <w:proofErr w:type="gramEnd"/>
      <w:r w:rsidR="0072261B">
        <w:rPr>
          <w:i/>
          <w:iCs/>
        </w:rPr>
        <w:t xml:space="preserve"> </w:t>
      </w:r>
      <w:r>
        <w:t>invite les élèves à réfléchir à la conservation des aliments avant la génération de l’électricité et permet de comprendre comment Louis XIV pouvait manger des glaces et des sorbets au XVII</w:t>
      </w:r>
      <w:r w:rsidRPr="0072261B">
        <w:rPr>
          <w:vertAlign w:val="superscript"/>
        </w:rPr>
        <w:t>e</w:t>
      </w:r>
      <w:r w:rsidR="0072261B">
        <w:rPr>
          <w:vertAlign w:val="superscript"/>
        </w:rPr>
        <w:t> </w:t>
      </w:r>
      <w:r>
        <w:t>siècle.</w:t>
      </w:r>
    </w:p>
    <w:p w14:paraId="2B4E0E91" w14:textId="7F048D12" w:rsidR="00436895" w:rsidRPr="00436895" w:rsidRDefault="002935AF" w:rsidP="00436895">
      <w:pPr>
        <w:jc w:val="both"/>
      </w:pPr>
      <w:r>
        <w:tab/>
      </w:r>
      <w:r w:rsidR="00436895">
        <w:t xml:space="preserve">Le cahier propose une initiation à la complexité du monde. La France ne se résume pas à ses frontières hexagonales. La </w:t>
      </w:r>
      <w:r w:rsidR="00436895" w:rsidRPr="00353EED">
        <w:rPr>
          <w:b/>
          <w:bCs/>
        </w:rPr>
        <w:t>France d’outre-mer</w:t>
      </w:r>
      <w:r w:rsidR="00436895">
        <w:t xml:space="preserve"> est étudiée dans de nombreuses fiches. Il s’agit de montrer que la France est diverse et que les modes de </w:t>
      </w:r>
      <w:proofErr w:type="gramStart"/>
      <w:r w:rsidR="00436895">
        <w:t>vie diff</w:t>
      </w:r>
      <w:r w:rsidR="0072261B">
        <w:t>é</w:t>
      </w:r>
      <w:r w:rsidR="00436895">
        <w:t>rent</w:t>
      </w:r>
      <w:proofErr w:type="gramEnd"/>
      <w:r w:rsidR="00436895">
        <w:t xml:space="preserve"> selon l’endroit du globe où l’on vit. Les élèves découvrent ainsi que tous les Français ne mettent pas un manteau l’hiver (par exemple à Mayotte).</w:t>
      </w:r>
      <w:r w:rsidR="00E04D9B">
        <w:t xml:space="preserve"> Le cahier invite aussi à comprendre les grandes évolutions de notre société en </w:t>
      </w:r>
      <w:r w:rsidR="00E04D9B" w:rsidRPr="00353EED">
        <w:rPr>
          <w:b/>
          <w:bCs/>
        </w:rPr>
        <w:t>comparant des modes</w:t>
      </w:r>
      <w:r w:rsidR="00E04D9B">
        <w:t xml:space="preserve"> </w:t>
      </w:r>
      <w:r w:rsidR="00E04D9B" w:rsidRPr="0072261B">
        <w:rPr>
          <w:b/>
          <w:bCs/>
        </w:rPr>
        <w:t>de vie</w:t>
      </w:r>
      <w:r w:rsidR="00E04D9B">
        <w:t>.</w:t>
      </w:r>
    </w:p>
    <w:p w14:paraId="7606A217" w14:textId="77777777" w:rsidR="00E163E9" w:rsidRPr="0072261B" w:rsidRDefault="00305FDE">
      <w:pPr>
        <w:rPr>
          <w:b/>
          <w:bCs/>
          <w:color w:val="4472C4" w:themeColor="accent1"/>
        </w:rPr>
      </w:pPr>
      <w:r w:rsidRPr="0072261B">
        <w:rPr>
          <w:b/>
          <w:bCs/>
          <w:color w:val="4472C4" w:themeColor="accent1"/>
        </w:rPr>
        <w:t>Un fichier enrichi</w:t>
      </w:r>
    </w:p>
    <w:p w14:paraId="0AA8E0CC" w14:textId="77777777" w:rsidR="00E163E9" w:rsidRDefault="00E163E9" w:rsidP="00E163E9">
      <w:pPr>
        <w:ind w:firstLine="708"/>
      </w:pPr>
      <w:r>
        <w:t xml:space="preserve">Le cahier propose des </w:t>
      </w:r>
      <w:r w:rsidRPr="00353EED">
        <w:rPr>
          <w:b/>
          <w:bCs/>
        </w:rPr>
        <w:t>ressources</w:t>
      </w:r>
      <w:r>
        <w:t xml:space="preserve"> et des </w:t>
      </w:r>
      <w:r w:rsidRPr="00353EED">
        <w:rPr>
          <w:b/>
          <w:bCs/>
        </w:rPr>
        <w:t>activités</w:t>
      </w:r>
      <w:r>
        <w:t xml:space="preserve"> </w:t>
      </w:r>
      <w:r w:rsidRPr="00353EED">
        <w:rPr>
          <w:b/>
          <w:bCs/>
        </w:rPr>
        <w:t>variées</w:t>
      </w:r>
      <w:r>
        <w:t xml:space="preserve"> : </w:t>
      </w:r>
    </w:p>
    <w:p w14:paraId="6B5CE5FF" w14:textId="16E47E53" w:rsidR="00E163E9" w:rsidRPr="00E163E9" w:rsidRDefault="0072261B" w:rsidP="00E163E9">
      <w:pPr>
        <w:pStyle w:val="Paragraphedeliste"/>
        <w:numPr>
          <w:ilvl w:val="0"/>
          <w:numId w:val="1"/>
        </w:numPr>
        <w:jc w:val="both"/>
        <w:rPr>
          <w:b/>
          <w:bCs/>
        </w:rPr>
      </w:pPr>
      <w:proofErr w:type="gramStart"/>
      <w:r>
        <w:lastRenderedPageBreak/>
        <w:t>d</w:t>
      </w:r>
      <w:r w:rsidR="00E163E9">
        <w:t>es</w:t>
      </w:r>
      <w:proofErr w:type="gramEnd"/>
      <w:r w:rsidR="00E163E9">
        <w:t xml:space="preserve"> vidéos </w:t>
      </w:r>
      <w:r>
        <w:t>(</w:t>
      </w:r>
      <w:r w:rsidR="00E163E9">
        <w:t>grâce aux QR code</w:t>
      </w:r>
      <w:r>
        <w:t>)</w:t>
      </w:r>
      <w:r w:rsidR="00E163E9">
        <w:t xml:space="preserve">, textes, dessins, </w:t>
      </w:r>
      <w:r>
        <w:t xml:space="preserve">nombreuses </w:t>
      </w:r>
      <w:r w:rsidR="00E163E9">
        <w:t xml:space="preserve">cartes à différentes échelles, photographies, schémas… pour que les élèves s’initient à lire et à comprendre </w:t>
      </w:r>
      <w:r w:rsidR="00353EED" w:rsidRPr="00AB025C">
        <w:rPr>
          <w:b/>
          <w:bCs/>
        </w:rPr>
        <w:t>différents</w:t>
      </w:r>
      <w:r w:rsidR="00E163E9" w:rsidRPr="00AB025C">
        <w:rPr>
          <w:b/>
          <w:bCs/>
        </w:rPr>
        <w:t xml:space="preserve"> types de documents</w:t>
      </w:r>
      <w:r w:rsidR="00E163E9">
        <w:t>.</w:t>
      </w:r>
    </w:p>
    <w:p w14:paraId="6FA19423" w14:textId="1B941C5A" w:rsidR="00E163E9" w:rsidRDefault="00E163E9" w:rsidP="00E163E9">
      <w:pPr>
        <w:pStyle w:val="Paragraphedeliste"/>
        <w:numPr>
          <w:ilvl w:val="0"/>
          <w:numId w:val="1"/>
        </w:numPr>
        <w:jc w:val="both"/>
      </w:pPr>
      <w:r w:rsidRPr="00E163E9">
        <w:t>Le</w:t>
      </w:r>
      <w:r>
        <w:t xml:space="preserve"> travail sur des frises chronologiques, des croquis, des cartes et des descriptions permettent aux élèves de </w:t>
      </w:r>
      <w:r w:rsidRPr="00AB025C">
        <w:rPr>
          <w:b/>
          <w:bCs/>
        </w:rPr>
        <w:t>travailler les compétences d’histoire géographie</w:t>
      </w:r>
      <w:r>
        <w:t xml:space="preserve"> (se situer dans l’espace, se repérer dans le temps, comprendre un document, passer d’un langage à un autre).</w:t>
      </w:r>
    </w:p>
    <w:p w14:paraId="3B92CB50" w14:textId="2735C443" w:rsidR="00E163E9" w:rsidRPr="00AB025C" w:rsidRDefault="00E163E9" w:rsidP="00E163E9">
      <w:pPr>
        <w:ind w:firstLine="360"/>
        <w:jc w:val="both"/>
        <w:rPr>
          <w:b/>
          <w:bCs/>
        </w:rPr>
      </w:pPr>
      <w:r>
        <w:t xml:space="preserve">Les </w:t>
      </w:r>
      <w:r w:rsidRPr="00AB025C">
        <w:rPr>
          <w:b/>
          <w:bCs/>
        </w:rPr>
        <w:t>leçon</w:t>
      </w:r>
      <w:r w:rsidR="00E04D9B" w:rsidRPr="00AB025C">
        <w:rPr>
          <w:b/>
          <w:bCs/>
        </w:rPr>
        <w:t>s</w:t>
      </w:r>
      <w:r w:rsidRPr="00AB025C">
        <w:rPr>
          <w:b/>
          <w:bCs/>
        </w:rPr>
        <w:t xml:space="preserve"> à manipuler</w:t>
      </w:r>
      <w:r>
        <w:t xml:space="preserve"> </w:t>
      </w:r>
      <w:r w:rsidR="00C239D1">
        <w:t>offrent la possibilité aux</w:t>
      </w:r>
      <w:r>
        <w:t xml:space="preserve"> élèves </w:t>
      </w:r>
      <w:r w:rsidR="00C239D1">
        <w:t>de</w:t>
      </w:r>
      <w:r>
        <w:t xml:space="preserve"> réviser leur leçon et </w:t>
      </w:r>
      <w:r w:rsidR="00C239D1">
        <w:t>de</w:t>
      </w:r>
      <w:r>
        <w:t xml:space="preserve"> préparer les évaluations (proposées en ressources en ligne). En fabriquant leur mémo pour apprendre les notions nouvelles, en travaillant le repérage sur des frises chronologiques variées et sur des cartes de nature différente</w:t>
      </w:r>
      <w:r w:rsidR="00E04D9B">
        <w:t xml:space="preserve"> et en utilisant les QCM en ligne (</w:t>
      </w:r>
      <w:proofErr w:type="spellStart"/>
      <w:r w:rsidR="00E04D9B" w:rsidRPr="0072261B">
        <w:rPr>
          <w:i/>
          <w:iCs/>
        </w:rPr>
        <w:t>Réviz</w:t>
      </w:r>
      <w:proofErr w:type="spellEnd"/>
      <w:r w:rsidR="00E04D9B" w:rsidRPr="0072261B">
        <w:rPr>
          <w:i/>
          <w:iCs/>
        </w:rPr>
        <w:t xml:space="preserve"> quiz</w:t>
      </w:r>
      <w:r w:rsidR="00E04D9B">
        <w:t>)</w:t>
      </w:r>
      <w:r>
        <w:t xml:space="preserve"> les élèves </w:t>
      </w:r>
      <w:r w:rsidR="00E04D9B">
        <w:t xml:space="preserve">sont </w:t>
      </w:r>
      <w:r w:rsidR="00E04D9B" w:rsidRPr="00AB025C">
        <w:rPr>
          <w:b/>
          <w:bCs/>
        </w:rPr>
        <w:t>acteurs</w:t>
      </w:r>
      <w:r w:rsidR="00E04D9B">
        <w:t xml:space="preserve"> </w:t>
      </w:r>
      <w:r w:rsidR="00E04D9B" w:rsidRPr="00AB025C">
        <w:rPr>
          <w:b/>
          <w:bCs/>
        </w:rPr>
        <w:t xml:space="preserve">de leurs révisions.  </w:t>
      </w:r>
    </w:p>
    <w:p w14:paraId="17D72259" w14:textId="00DAC09C" w:rsidR="00305FDE" w:rsidRPr="00E04D9B" w:rsidRDefault="00E04D9B" w:rsidP="00E04D9B">
      <w:pPr>
        <w:jc w:val="both"/>
      </w:pPr>
      <w:r w:rsidRPr="00E04D9B">
        <w:tab/>
        <w:t xml:space="preserve">Ce fichier propose </w:t>
      </w:r>
      <w:r w:rsidR="00C239D1">
        <w:t xml:space="preserve">enfin </w:t>
      </w:r>
      <w:r w:rsidRPr="00E04D9B">
        <w:t xml:space="preserve">de traiter le programme de l’année en questionnant le temps et l’espace et en offrant une véritable </w:t>
      </w:r>
      <w:r w:rsidRPr="00E04D9B">
        <w:rPr>
          <w:b/>
          <w:bCs/>
        </w:rPr>
        <w:t>initiation à l’étude de l’histoire et de la géographie</w:t>
      </w:r>
      <w:r w:rsidRPr="00E04D9B">
        <w:t xml:space="preserve">. </w:t>
      </w:r>
      <w:r>
        <w:t xml:space="preserve">Il participe à la collection « séances animées » dont l’objectif est de </w:t>
      </w:r>
      <w:r w:rsidRPr="00E04D9B">
        <w:rPr>
          <w:b/>
          <w:bCs/>
        </w:rPr>
        <w:t>dynamiser</w:t>
      </w:r>
      <w:r>
        <w:t xml:space="preserve"> les leçons avec des documents pertinents, adaptés au niveau des élèves</w:t>
      </w:r>
      <w:r w:rsidR="00C239D1">
        <w:t>, d’éveiller</w:t>
      </w:r>
      <w:r>
        <w:t xml:space="preserve"> à la </w:t>
      </w:r>
      <w:r w:rsidRPr="00E04D9B">
        <w:rPr>
          <w:b/>
          <w:bCs/>
        </w:rPr>
        <w:t>curiosité</w:t>
      </w:r>
      <w:r w:rsidR="00C239D1">
        <w:t xml:space="preserve"> et de susciter le </w:t>
      </w:r>
      <w:r w:rsidR="00C239D1" w:rsidRPr="00C239D1">
        <w:rPr>
          <w:b/>
          <w:bCs/>
        </w:rPr>
        <w:t>questionnement</w:t>
      </w:r>
      <w:r w:rsidR="00C239D1">
        <w:t>.</w:t>
      </w:r>
    </w:p>
    <w:sectPr w:rsidR="00305FDE" w:rsidRPr="00E04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1356"/>
    <w:multiLevelType w:val="hybridMultilevel"/>
    <w:tmpl w:val="25D6E556"/>
    <w:lvl w:ilvl="0" w:tplc="4A9C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229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DE"/>
    <w:rsid w:val="001E57EB"/>
    <w:rsid w:val="002068DC"/>
    <w:rsid w:val="002935AF"/>
    <w:rsid w:val="00305FDE"/>
    <w:rsid w:val="00353EED"/>
    <w:rsid w:val="003906C4"/>
    <w:rsid w:val="00412135"/>
    <w:rsid w:val="00436895"/>
    <w:rsid w:val="004451F4"/>
    <w:rsid w:val="00446333"/>
    <w:rsid w:val="004A46DE"/>
    <w:rsid w:val="0072261B"/>
    <w:rsid w:val="00AB025C"/>
    <w:rsid w:val="00BB7048"/>
    <w:rsid w:val="00C239D1"/>
    <w:rsid w:val="00CE517A"/>
    <w:rsid w:val="00E04D9B"/>
    <w:rsid w:val="00E163E9"/>
    <w:rsid w:val="00EF4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CB29"/>
  <w15:chartTrackingRefBased/>
  <w15:docId w15:val="{D2DA83A8-560C-429D-86E7-8F8504AE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5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05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05FD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05FD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05FD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05F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5F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5F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5F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5FD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05FD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05FD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05FD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05FD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05F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5F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5F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5FDE"/>
    <w:rPr>
      <w:rFonts w:eastAsiaTheme="majorEastAsia" w:cstheme="majorBidi"/>
      <w:color w:val="272727" w:themeColor="text1" w:themeTint="D8"/>
    </w:rPr>
  </w:style>
  <w:style w:type="paragraph" w:styleId="Titre">
    <w:name w:val="Title"/>
    <w:basedOn w:val="Normal"/>
    <w:next w:val="Normal"/>
    <w:link w:val="TitreCar"/>
    <w:uiPriority w:val="10"/>
    <w:qFormat/>
    <w:rsid w:val="00305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5F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5F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5F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5FDE"/>
    <w:pPr>
      <w:spacing w:before="160"/>
      <w:jc w:val="center"/>
    </w:pPr>
    <w:rPr>
      <w:i/>
      <w:iCs/>
      <w:color w:val="404040" w:themeColor="text1" w:themeTint="BF"/>
    </w:rPr>
  </w:style>
  <w:style w:type="character" w:customStyle="1" w:styleId="CitationCar">
    <w:name w:val="Citation Car"/>
    <w:basedOn w:val="Policepardfaut"/>
    <w:link w:val="Citation"/>
    <w:uiPriority w:val="29"/>
    <w:rsid w:val="00305FDE"/>
    <w:rPr>
      <w:i/>
      <w:iCs/>
      <w:color w:val="404040" w:themeColor="text1" w:themeTint="BF"/>
    </w:rPr>
  </w:style>
  <w:style w:type="paragraph" w:styleId="Paragraphedeliste">
    <w:name w:val="List Paragraph"/>
    <w:basedOn w:val="Normal"/>
    <w:uiPriority w:val="34"/>
    <w:qFormat/>
    <w:rsid w:val="00305FDE"/>
    <w:pPr>
      <w:ind w:left="720"/>
      <w:contextualSpacing/>
    </w:pPr>
  </w:style>
  <w:style w:type="character" w:styleId="Accentuationintense">
    <w:name w:val="Intense Emphasis"/>
    <w:basedOn w:val="Policepardfaut"/>
    <w:uiPriority w:val="21"/>
    <w:qFormat/>
    <w:rsid w:val="00305FDE"/>
    <w:rPr>
      <w:i/>
      <w:iCs/>
      <w:color w:val="2F5496" w:themeColor="accent1" w:themeShade="BF"/>
    </w:rPr>
  </w:style>
  <w:style w:type="paragraph" w:styleId="Citationintense">
    <w:name w:val="Intense Quote"/>
    <w:basedOn w:val="Normal"/>
    <w:next w:val="Normal"/>
    <w:link w:val="CitationintenseCar"/>
    <w:uiPriority w:val="30"/>
    <w:qFormat/>
    <w:rsid w:val="00305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05FDE"/>
    <w:rPr>
      <w:i/>
      <w:iCs/>
      <w:color w:val="2F5496" w:themeColor="accent1" w:themeShade="BF"/>
    </w:rPr>
  </w:style>
  <w:style w:type="character" w:styleId="Rfrenceintense">
    <w:name w:val="Intense Reference"/>
    <w:basedOn w:val="Policepardfaut"/>
    <w:uiPriority w:val="32"/>
    <w:qFormat/>
    <w:rsid w:val="00305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578</Words>
  <Characters>3181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pointu</dc:creator>
  <cp:keywords/>
  <dc:description/>
  <cp:lastModifiedBy>Chauvellier.Anne</cp:lastModifiedBy>
  <cp:revision>3</cp:revision>
  <dcterms:created xsi:type="dcterms:W3CDTF">2026-05-06T13:55:00Z</dcterms:created>
  <dcterms:modified xsi:type="dcterms:W3CDTF">2026-05-06T14:32:00Z</dcterms:modified>
</cp:coreProperties>
</file>